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华文仿宋" w:hAnsi="华文仿宋" w:eastAsia="华文仿宋"/>
          <w:sz w:val="52"/>
          <w:szCs w:val="52"/>
        </w:rPr>
      </w:pPr>
      <w:bookmarkStart w:id="0" w:name="_Toc3995"/>
      <w:r>
        <w:rPr>
          <w:rFonts w:ascii="华文仿宋" w:hAnsi="华文仿宋" w:eastAsia="华文仿宋"/>
          <w:sz w:val="52"/>
          <w:szCs w:val="52"/>
        </w:rPr>
        <w:drawing>
          <wp:inline distT="0" distB="0" distL="114300" distR="114300">
            <wp:extent cx="434975" cy="434975"/>
            <wp:effectExtent l="0" t="0" r="6985" b="6985"/>
            <wp:docPr id="3" name="图片 1" descr="新余学院校徽(10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新余学院校徽(100X100)"/>
                    <pic:cNvPicPr>
                      <a:picLocks noChangeAspect="1"/>
                    </pic:cNvPicPr>
                  </pic:nvPicPr>
                  <pic:blipFill>
                    <a:blip r:embed="rId8"/>
                    <a:stretch>
                      <a:fillRect/>
                    </a:stretch>
                  </pic:blipFill>
                  <pic:spPr>
                    <a:xfrm>
                      <a:off x="0" y="0"/>
                      <a:ext cx="434975" cy="434975"/>
                    </a:xfrm>
                    <a:prstGeom prst="rect">
                      <a:avLst/>
                    </a:prstGeom>
                    <a:noFill/>
                    <a:ln>
                      <a:noFill/>
                    </a:ln>
                  </pic:spPr>
                </pic:pic>
              </a:graphicData>
            </a:graphic>
          </wp:inline>
        </w:drawing>
      </w:r>
      <w:r>
        <w:rPr>
          <w:rFonts w:ascii="华文仿宋" w:hAnsi="华文仿宋" w:eastAsia="华文仿宋"/>
          <w:sz w:val="52"/>
          <w:szCs w:val="52"/>
        </w:rPr>
        <w:drawing>
          <wp:inline distT="0" distB="0" distL="114300" distR="114300">
            <wp:extent cx="1384300" cy="375920"/>
            <wp:effectExtent l="0" t="0" r="2540" b="5080"/>
            <wp:docPr id="2" name="图片 2" descr="新余学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余学院2"/>
                    <pic:cNvPicPr>
                      <a:picLocks noChangeAspect="1"/>
                    </pic:cNvPicPr>
                  </pic:nvPicPr>
                  <pic:blipFill>
                    <a:blip r:embed="rId9"/>
                    <a:stretch>
                      <a:fillRect/>
                    </a:stretch>
                  </pic:blipFill>
                  <pic:spPr>
                    <a:xfrm>
                      <a:off x="0" y="0"/>
                      <a:ext cx="1384300" cy="375920"/>
                    </a:xfrm>
                    <a:prstGeom prst="rect">
                      <a:avLst/>
                    </a:prstGeom>
                    <a:noFill/>
                    <a:ln>
                      <a:noFill/>
                    </a:ln>
                  </pic:spPr>
                </pic:pic>
              </a:graphicData>
            </a:graphic>
          </wp:inline>
        </w:drawing>
      </w:r>
    </w:p>
    <w:p>
      <w:pPr>
        <w:pStyle w:val="3"/>
        <w:spacing w:after="0"/>
        <w:jc w:val="both"/>
        <w:rPr>
          <w:rFonts w:ascii="宋体" w:hAnsi="宋体" w:cs="宋体"/>
          <w:b/>
          <w:bCs/>
          <w:spacing w:val="-20"/>
          <w:kern w:val="44"/>
          <w:sz w:val="48"/>
          <w:szCs w:val="48"/>
        </w:rPr>
      </w:pPr>
    </w:p>
    <w:p>
      <w:pPr>
        <w:pStyle w:val="3"/>
        <w:spacing w:after="0"/>
        <w:jc w:val="both"/>
        <w:rPr>
          <w:rFonts w:ascii="宋体" w:hAnsi="宋体" w:cs="宋体"/>
          <w:b/>
          <w:bCs/>
          <w:spacing w:val="-20"/>
          <w:kern w:val="44"/>
          <w:sz w:val="48"/>
          <w:szCs w:val="48"/>
        </w:rPr>
      </w:pPr>
      <w:bookmarkStart w:id="5" w:name="_GoBack"/>
      <w:bookmarkEnd w:id="5"/>
    </w:p>
    <w:p>
      <w:pPr>
        <w:pStyle w:val="3"/>
        <w:spacing w:after="0"/>
        <w:jc w:val="center"/>
        <w:rPr>
          <w:rFonts w:ascii="宋体" w:hAnsi="宋体" w:cs="宋体"/>
          <w:b/>
          <w:bCs/>
          <w:spacing w:val="-20"/>
          <w:kern w:val="44"/>
          <w:sz w:val="48"/>
          <w:szCs w:val="48"/>
        </w:rPr>
      </w:pPr>
    </w:p>
    <w:p>
      <w:pPr>
        <w:pStyle w:val="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p>
      <w:pPr>
        <w:pStyle w:val="4"/>
        <w:adjustRightInd w:val="0"/>
        <w:snapToGrid w:val="0"/>
        <w:spacing w:beforeLines="0" w:line="400" w:lineRule="exact"/>
        <w:jc w:val="center"/>
        <w:rPr>
          <w:rFonts w:hint="eastAsia" w:ascii="黑体" w:hAnsi="黑体" w:eastAsia="黑体"/>
          <w:sz w:val="28"/>
          <w:szCs w:val="28"/>
        </w:rPr>
      </w:pPr>
      <w:bookmarkStart w:id="1"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6"/>
        <w:numPr>
          <w:ilvl w:val="0"/>
          <w:numId w:val="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1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1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1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1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1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1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15"/>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15"/>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1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15"/>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15"/>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1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15"/>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15"/>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15"/>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16"/>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15"/>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15"/>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15"/>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1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16"/>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16"/>
        <w:rPr>
          <w:rFonts w:hint="eastAsia"/>
        </w:rPr>
      </w:pPr>
    </w:p>
    <w:tbl>
      <w:tblPr>
        <w:tblStyle w:val="1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9"/>
        <w:gridCol w:w="2412"/>
        <w:gridCol w:w="1979"/>
        <w:gridCol w:w="211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w:t>
            </w:r>
            <w:r>
              <w:rPr>
                <w:rFonts w:hint="eastAsia"/>
                <w:szCs w:val="21"/>
                <w:lang w:eastAsia="zh-CN"/>
              </w:rPr>
              <w:t>新余学院</w:t>
            </w:r>
            <w:r>
              <w:rPr>
                <w:rFonts w:hint="eastAsia"/>
                <w:szCs w:val="21"/>
              </w:rPr>
              <w:t>）</w:t>
            </w:r>
          </w:p>
        </w:tc>
        <w:tc>
          <w:tcPr>
            <w:tcW w:w="2438"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0790-6666081</w:t>
            </w: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r>
              <w:rPr>
                <w:rFonts w:hint="eastAsia"/>
                <w:szCs w:val="21"/>
                <w:lang w:eastAsia="zh-CN"/>
              </w:rPr>
              <w:t>新余市高新区阳光大道</w:t>
            </w:r>
            <w:r>
              <w:rPr>
                <w:rFonts w:hint="eastAsia"/>
                <w:szCs w:val="21"/>
                <w:lang w:val="en-US" w:eastAsia="zh-CN"/>
              </w:rPr>
              <w:t xml:space="preserve">2666号 </w:t>
            </w: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338025</w:t>
            </w: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kern w:val="2"/>
                <w:sz w:val="21"/>
                <w:szCs w:val="21"/>
                <w:lang w:val="en-US" w:eastAsia="zh-CN" w:bidi="ar-SA"/>
              </w:rPr>
            </w:pPr>
            <w:r>
              <w:rPr>
                <w:rFonts w:hint="eastAsia"/>
                <w:szCs w:val="21"/>
                <w:lang w:val="en-US" w:eastAsia="zh-CN"/>
              </w:rPr>
              <w:t>22765962@QQ.COM</w:t>
            </w: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12360500491601053T</w:t>
            </w: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 w:name="_Toc27624"/>
      <w:r>
        <w:rPr>
          <w:rFonts w:hint="eastAsia" w:ascii="黑体" w:hAnsi="黑体" w:eastAsia="黑体"/>
          <w:b w:val="0"/>
          <w:bCs w:val="0"/>
          <w:sz w:val="28"/>
          <w:szCs w:val="28"/>
        </w:rPr>
        <w:t>第二节 政府采购合同通用条款</w:t>
      </w:r>
      <w:bookmarkEnd w:id="2"/>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pPr>
        <w:pStyle w:val="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15"/>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15"/>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15"/>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1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15"/>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3"/>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15"/>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15"/>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mZWNkZTIxMTk0ZTA3NGMzMTY4NGVmOWQ2MDllNGMifQ=="/>
    <w:docVar w:name="KSO_WPS_MARK_KEY" w:val="6700bd98-2076-4be6-9f81-f57aa6717380"/>
  </w:docVars>
  <w:rsids>
    <w:rsidRoot w:val="54C92D9C"/>
    <w:rsid w:val="004907B2"/>
    <w:rsid w:val="00966ECA"/>
    <w:rsid w:val="009B6B65"/>
    <w:rsid w:val="00AA2E22"/>
    <w:rsid w:val="00D85467"/>
    <w:rsid w:val="00DD548E"/>
    <w:rsid w:val="00FA33D9"/>
    <w:rsid w:val="01401F5A"/>
    <w:rsid w:val="03624413"/>
    <w:rsid w:val="04176773"/>
    <w:rsid w:val="07051E94"/>
    <w:rsid w:val="090037FF"/>
    <w:rsid w:val="0ADC4CA9"/>
    <w:rsid w:val="0DED3F7D"/>
    <w:rsid w:val="0DF93024"/>
    <w:rsid w:val="0E6D824E"/>
    <w:rsid w:val="12782E2D"/>
    <w:rsid w:val="138B3749"/>
    <w:rsid w:val="14EC61FA"/>
    <w:rsid w:val="154426EF"/>
    <w:rsid w:val="1DDD518B"/>
    <w:rsid w:val="1E7F39E6"/>
    <w:rsid w:val="1F567E19"/>
    <w:rsid w:val="21A27001"/>
    <w:rsid w:val="25BC1628"/>
    <w:rsid w:val="272C59D1"/>
    <w:rsid w:val="27FFA353"/>
    <w:rsid w:val="29AA41A5"/>
    <w:rsid w:val="2ABA4329"/>
    <w:rsid w:val="2AC03426"/>
    <w:rsid w:val="2DFDF521"/>
    <w:rsid w:val="2F3A4279"/>
    <w:rsid w:val="2FBD1B59"/>
    <w:rsid w:val="2FBF6131"/>
    <w:rsid w:val="2FBFBAB7"/>
    <w:rsid w:val="303A1F86"/>
    <w:rsid w:val="320C5700"/>
    <w:rsid w:val="324E11EB"/>
    <w:rsid w:val="3328F98F"/>
    <w:rsid w:val="347830EB"/>
    <w:rsid w:val="36EB00DD"/>
    <w:rsid w:val="37BBBCEC"/>
    <w:rsid w:val="3AA579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2"/>
    <w:unhideWhenUsed/>
    <w:qFormat/>
    <w:uiPriority w:val="0"/>
    <w:pPr>
      <w:spacing w:after="120"/>
    </w:pPr>
    <w:rPr>
      <w:rFonts w:ascii="Calibri" w:hAnsi="Calibri"/>
      <w:szCs w:val="22"/>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
    <w:name w:val="列出段落1"/>
    <w:basedOn w:val="1"/>
    <w:qFormat/>
    <w:uiPriority w:val="0"/>
    <w:pPr>
      <w:ind w:firstLine="420" w:firstLineChars="200"/>
    </w:pPr>
    <w:rPr>
      <w:szCs w:val="21"/>
    </w:rPr>
  </w:style>
  <w:style w:type="paragraph" w:customStyle="1" w:styleId="17">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9299</Words>
  <Characters>9616</Characters>
  <Lines>64</Lines>
  <Paragraphs>18</Paragraphs>
  <TotalTime>0</TotalTime>
  <ScaleCrop>false</ScaleCrop>
  <LinksUpToDate>false</LinksUpToDate>
  <CharactersWithSpaces>11824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邹兵</cp:lastModifiedBy>
  <cp:lastPrinted>2024-04-27T10:20:00Z</cp:lastPrinted>
  <dcterms:modified xsi:type="dcterms:W3CDTF">2024-06-26T08:22:33Z</dcterms:modified>
  <dc:title>政府采购货物买卖合同（试行）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94F9244021D84674BC4953CB389364A8_13</vt:lpwstr>
  </property>
</Properties>
</file>